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CD" w:rsidRPr="00A970CD" w:rsidRDefault="00A970CD" w:rsidP="00A970C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A970CD">
        <w:rPr>
          <w:rFonts w:ascii="Times New Roman" w:hAnsi="Times New Roman" w:cs="Times New Roman"/>
        </w:rPr>
        <w:t>Приложение № 1</w:t>
      </w:r>
    </w:p>
    <w:p w:rsidR="00A970CD" w:rsidRPr="00A970CD" w:rsidRDefault="00A970CD" w:rsidP="00A970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0CD">
        <w:rPr>
          <w:rFonts w:ascii="Times New Roman" w:hAnsi="Times New Roman" w:cs="Times New Roman"/>
        </w:rPr>
        <w:t xml:space="preserve">к Решению Совета МР </w:t>
      </w:r>
    </w:p>
    <w:p w:rsidR="00A970CD" w:rsidRPr="00A970CD" w:rsidRDefault="00A970CD" w:rsidP="00A970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0CD">
        <w:rPr>
          <w:rFonts w:ascii="Times New Roman" w:hAnsi="Times New Roman" w:cs="Times New Roman"/>
        </w:rPr>
        <w:t>«</w:t>
      </w:r>
      <w:proofErr w:type="spellStart"/>
      <w:r w:rsidRPr="00A970CD">
        <w:rPr>
          <w:rFonts w:ascii="Times New Roman" w:hAnsi="Times New Roman" w:cs="Times New Roman"/>
        </w:rPr>
        <w:t>Троицко</w:t>
      </w:r>
      <w:proofErr w:type="spellEnd"/>
      <w:r w:rsidRPr="00A970CD">
        <w:rPr>
          <w:rFonts w:ascii="Times New Roman" w:hAnsi="Times New Roman" w:cs="Times New Roman"/>
        </w:rPr>
        <w:t>-Печорский»</w:t>
      </w:r>
    </w:p>
    <w:p w:rsidR="00A970CD" w:rsidRPr="00A970CD" w:rsidRDefault="00A970CD" w:rsidP="00A970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0CD">
        <w:rPr>
          <w:rFonts w:ascii="Times New Roman" w:hAnsi="Times New Roman" w:cs="Times New Roman"/>
        </w:rPr>
        <w:t xml:space="preserve">от  20.02.2018г. № 27/     </w:t>
      </w:r>
    </w:p>
    <w:p w:rsidR="00A970CD" w:rsidRPr="00A970CD" w:rsidRDefault="00A970CD" w:rsidP="00A970CD">
      <w:pPr>
        <w:tabs>
          <w:tab w:val="right" w:leader="dot" w:pos="9923"/>
        </w:tabs>
        <w:spacing w:before="120" w:after="120"/>
        <w:rPr>
          <w:rFonts w:ascii="Times New Roman" w:hAnsi="Times New Roman" w:cs="Times New Roman"/>
          <w:bCs/>
          <w:caps/>
          <w:sz w:val="20"/>
          <w:szCs w:val="20"/>
        </w:rPr>
      </w:pPr>
    </w:p>
    <w:p w:rsidR="00A970CD" w:rsidRDefault="00A970CD" w:rsidP="00A970CD">
      <w:pPr>
        <w:pStyle w:val="1"/>
        <w:rPr>
          <w:kern w:val="28"/>
        </w:rPr>
      </w:pPr>
    </w:p>
    <w:p w:rsidR="00A970CD" w:rsidRPr="00A970CD" w:rsidRDefault="00A970CD" w:rsidP="00A970CD">
      <w:pPr>
        <w:pStyle w:val="1"/>
        <w:rPr>
          <w:kern w:val="28"/>
        </w:rPr>
      </w:pPr>
      <w:r w:rsidRPr="00A970CD">
        <w:rPr>
          <w:kern w:val="28"/>
        </w:rPr>
        <w:t>ОГЛАВЛЕНИЕ</w:t>
      </w:r>
    </w:p>
    <w:p w:rsidR="00A970CD" w:rsidRPr="00A970CD" w:rsidRDefault="00A970CD" w:rsidP="00A970CD">
      <w:pPr>
        <w:pStyle w:val="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</w:rPr>
        <w:t>Часть 1. ПОРЯДОК ПРИМЕНЕНИЯ ПРАВИЛ ЗЕМЛЕПОЛЬЗОВАНИЯ И ЗАСТРОЙКИ И ВНЕСЕНИЯ ИЗМЕННЕНИЙ В УКАЗАННЫЕ ПРАВИЛА</w:t>
      </w:r>
      <w:r w:rsidRPr="00A970CD">
        <w:rPr>
          <w:noProof/>
          <w:webHidden/>
        </w:rPr>
        <w:tab/>
        <w:t>5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  <w:kern w:val="28"/>
        </w:rPr>
        <w:t>Глава 1. Общие положения</w:t>
      </w:r>
      <w:r w:rsidRPr="00A970CD">
        <w:rPr>
          <w:noProof/>
          <w:webHidden/>
        </w:rPr>
        <w:tab/>
        <w:t>5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  <w:kern w:val="28"/>
        </w:rPr>
        <w:t>Глава 1. Общие положения</w:t>
      </w:r>
      <w:r w:rsidRPr="00A970CD">
        <w:rPr>
          <w:noProof/>
          <w:webHidden/>
        </w:rPr>
        <w:tab/>
        <w:t>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1. Общие положения</w:t>
      </w:r>
      <w:r w:rsidRPr="00A970CD">
        <w:rPr>
          <w:webHidden/>
        </w:rPr>
        <w:tab/>
        <w:t>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color w:val="auto"/>
        </w:rPr>
        <w:t>Статья 2. Основные понятия, используемые в Правилах</w:t>
      </w:r>
      <w:r w:rsidRPr="00A970CD">
        <w:rPr>
          <w:webHidden/>
        </w:rPr>
        <w:tab/>
        <w:t>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3. Общие положения, относящиеся к ранее возникшим правам. Использование и строительные изменения объектов недвижимости, несоответствующих Правилам</w:t>
      </w:r>
      <w:r w:rsidRPr="00A970CD">
        <w:rPr>
          <w:webHidden/>
        </w:rPr>
        <w:tab/>
        <w:t>12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noProof/>
          <w:color w:val="auto"/>
          <w:kern w:val="28"/>
        </w:rPr>
        <w:t>Глава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</w:t>
      </w:r>
      <w:r w:rsidRPr="00A970CD">
        <w:rPr>
          <w:noProof/>
          <w:webHidden/>
        </w:rPr>
        <w:tab/>
        <w:t>14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4. Полномочия органов и должностных лиц в области землепользования и застройки в части обеспечения применения Правил</w:t>
      </w:r>
      <w:r w:rsidRPr="00A970CD">
        <w:rPr>
          <w:webHidden/>
        </w:rPr>
        <w:tab/>
        <w:t>14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5. Комиссия по землепользованию и застройке</w:t>
      </w:r>
      <w:r w:rsidRPr="00A970CD">
        <w:rPr>
          <w:webHidden/>
        </w:rPr>
        <w:tab/>
        <w:t>15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6.  Подготовка документации по планировке территории органами местного самоуправления</w:t>
      </w:r>
      <w:r w:rsidRPr="00A970CD">
        <w:rPr>
          <w:webHidden/>
        </w:rPr>
        <w:tab/>
        <w:t>16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6.1.  Назначение и виды документации по планировке территории.</w:t>
      </w:r>
      <w:r w:rsidRPr="00A970CD">
        <w:rPr>
          <w:webHidden/>
        </w:rPr>
        <w:tab/>
        <w:t>16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6.2. Общие требования к документации по планировке территории</w:t>
      </w:r>
      <w:r w:rsidRPr="00A970CD">
        <w:rPr>
          <w:webHidden/>
        </w:rPr>
        <w:tab/>
        <w:t>17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6.3.  Проект планировки территории.</w:t>
      </w:r>
      <w:r w:rsidRPr="00A970CD">
        <w:rPr>
          <w:webHidden/>
        </w:rPr>
        <w:tab/>
        <w:t>18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bCs/>
          <w:color w:val="auto"/>
        </w:rPr>
        <w:t>6.4.  Проекты межевания территории.</w:t>
      </w:r>
      <w:r w:rsidRPr="00A970CD">
        <w:rPr>
          <w:webHidden/>
        </w:rPr>
        <w:tab/>
        <w:t>19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bCs/>
          <w:color w:val="auto"/>
        </w:rPr>
        <w:t>Статья 7. Подготовка и утверждение документации по планировке территории.</w:t>
      </w:r>
      <w:r w:rsidRPr="00A970CD">
        <w:rPr>
          <w:webHidden/>
        </w:rPr>
        <w:tab/>
        <w:t>21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8. Особенности подготовки документации по планировке территории применительно к территории поселения.</w:t>
      </w:r>
      <w:r w:rsidRPr="00A970CD">
        <w:rPr>
          <w:webHidden/>
        </w:rPr>
        <w:tab/>
        <w:t>23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9. Основания, условия и принципы организации порядка изъятия земельных участков, иных объектов недвижимости для реализации государственных, муниципальных нужд</w:t>
      </w:r>
      <w:r w:rsidRPr="00A970CD">
        <w:rPr>
          <w:webHidden/>
        </w:rPr>
        <w:tab/>
        <w:t>25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10. Условия принятия решений о резервировании земельных участков для реализации государственных, муниципальных нужд</w:t>
      </w:r>
      <w:r w:rsidRPr="00A970CD">
        <w:rPr>
          <w:webHidden/>
        </w:rPr>
        <w:tab/>
        <w:t>26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11. Условия установления публичных сервитутов</w:t>
      </w:r>
      <w:r w:rsidRPr="00A970CD">
        <w:rPr>
          <w:webHidden/>
        </w:rPr>
        <w:tab/>
        <w:t>27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12. Право на строительные изменения недвижимости и основание для его реализации.</w:t>
      </w:r>
      <w:r w:rsidRPr="00A970CD">
        <w:rPr>
          <w:webHidden/>
        </w:rPr>
        <w:tab/>
        <w:t>28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13. Подготовка проектной документации</w:t>
      </w:r>
      <w:r w:rsidRPr="00A970CD">
        <w:rPr>
          <w:webHidden/>
        </w:rPr>
        <w:tab/>
        <w:t>28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14. Выдача разрешений на строительство</w:t>
      </w:r>
      <w:r w:rsidRPr="00A970CD">
        <w:rPr>
          <w:webHidden/>
        </w:rPr>
        <w:tab/>
        <w:t>29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15. Строительный контроль и государственный строительный надзор</w:t>
      </w:r>
      <w:r w:rsidRPr="00A970CD">
        <w:rPr>
          <w:webHidden/>
        </w:rPr>
        <w:tab/>
        <w:t>29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16. Выдача разрешения на ввод объекта в эксплуатацию</w:t>
      </w:r>
      <w:r w:rsidRPr="00A970CD">
        <w:rPr>
          <w:webHidden/>
        </w:rPr>
        <w:tab/>
        <w:t>30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  <w:kern w:val="28"/>
        </w:rPr>
        <w:t>Глава 3.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r w:rsidRPr="00A970CD">
        <w:rPr>
          <w:noProof/>
          <w:webHidden/>
        </w:rPr>
        <w:tab/>
        <w:t>30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17. Изменение одного вида на другой вид использования земельных участков и иных объектов недвижимости</w:t>
      </w:r>
      <w:r w:rsidRPr="00A970CD">
        <w:rPr>
          <w:webHidden/>
        </w:rPr>
        <w:tab/>
        <w:t>30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18. Порядок предоставления разрешения на условно разрешённый вид использования земельного участка или объекта капитального строительства</w:t>
      </w:r>
      <w:r w:rsidRPr="00A970CD">
        <w:rPr>
          <w:webHidden/>
        </w:rPr>
        <w:tab/>
        <w:t>31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19. Порядок предоставления разрешения на отклонение от предельных параметров разрешённого строительства, реконструкции объектов капитального строительства</w:t>
      </w:r>
      <w:r w:rsidRPr="00A970CD">
        <w:rPr>
          <w:webHidden/>
        </w:rPr>
        <w:tab/>
        <w:t>32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noProof/>
          <w:color w:val="auto"/>
          <w:kern w:val="28"/>
        </w:rPr>
        <w:t>Глава 4. Положение о проведении публичных слушаний по вопросам землепользования и застройки</w:t>
      </w:r>
      <w:r w:rsidRPr="00A970CD">
        <w:rPr>
          <w:noProof/>
          <w:webHidden/>
        </w:rPr>
        <w:tab/>
        <w:t>33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20. Общие положения, вопросы, выносимые на публичные слушания. Порядок организации и проведения публичных слушаний</w:t>
      </w:r>
      <w:r w:rsidRPr="00A970CD">
        <w:rPr>
          <w:webHidden/>
        </w:rPr>
        <w:tab/>
        <w:t>33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  <w:kern w:val="28"/>
        </w:rPr>
        <w:t>Глава 5. Положение о внесении изменений в Правила землепользования и застройки</w:t>
      </w:r>
      <w:r w:rsidRPr="00A970CD">
        <w:rPr>
          <w:noProof/>
          <w:webHidden/>
        </w:rPr>
        <w:tab/>
        <w:t>37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21. Порядок внесения изменений в Правила землепользования и застройки</w:t>
      </w:r>
      <w:r w:rsidRPr="00A970CD">
        <w:rPr>
          <w:webHidden/>
        </w:rPr>
        <w:tab/>
        <w:t>37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rFonts w:ascii="Times New Roman" w:hAnsi="Times New Roman"/>
          <w:noProof/>
          <w:color w:val="auto"/>
          <w:kern w:val="28"/>
        </w:rPr>
        <w:t>Глава 6. О регулировании иных вопросов землепользования и застройки</w:t>
      </w:r>
      <w:r w:rsidRPr="00A970CD">
        <w:rPr>
          <w:noProof/>
          <w:webHidden/>
        </w:rPr>
        <w:tab/>
        <w:t>38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lastRenderedPageBreak/>
        <w:t>Статья 22. Контроль за сохранностью и использованием земельных участков и иных объектов недвижимости.</w:t>
      </w:r>
      <w:r w:rsidRPr="00A970CD">
        <w:rPr>
          <w:webHidden/>
        </w:rPr>
        <w:tab/>
        <w:t>38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23. Ответственность за нарушения Правил</w:t>
      </w:r>
      <w:r w:rsidRPr="00A970CD">
        <w:rPr>
          <w:webHidden/>
        </w:rPr>
        <w:tab/>
        <w:t>39</w:t>
      </w:r>
    </w:p>
    <w:p w:rsidR="00A970CD" w:rsidRPr="00A970CD" w:rsidRDefault="00A970CD" w:rsidP="00A970CD">
      <w:pPr>
        <w:pStyle w:val="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A970CD">
        <w:rPr>
          <w:rStyle w:val="a3"/>
          <w:noProof/>
          <w:color w:val="auto"/>
        </w:rPr>
        <w:t>Часть II. ГРАДОСТРОИТЕЛЬНЫЕ РЕГЛАМЕНТЫ</w:t>
      </w:r>
      <w:r w:rsidRPr="00A970CD">
        <w:rPr>
          <w:noProof/>
          <w:webHidden/>
        </w:rPr>
        <w:tab/>
        <w:t>40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noProof/>
          <w:color w:val="auto"/>
          <w:kern w:val="28"/>
        </w:rPr>
        <w:t>Глава 7.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зонам.</w:t>
      </w:r>
      <w:r w:rsidRPr="00A970CD">
        <w:rPr>
          <w:noProof/>
          <w:webHidden/>
        </w:rPr>
        <w:tab/>
        <w:t>40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24. Перечень территориальных зон. Градостроительные регламенты территориальных зон.</w:t>
      </w:r>
      <w:r w:rsidRPr="00A970CD">
        <w:rPr>
          <w:webHidden/>
        </w:rPr>
        <w:tab/>
        <w:t>40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24.1. Перечень территориальных зон</w:t>
      </w:r>
      <w:r w:rsidRPr="00A970CD">
        <w:rPr>
          <w:webHidden/>
        </w:rPr>
        <w:tab/>
        <w:t>40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24.2. Градостроительные регламенты территориальных зон.</w:t>
      </w:r>
      <w:r w:rsidRPr="00A970CD">
        <w:rPr>
          <w:webHidden/>
        </w:rPr>
        <w:tab/>
        <w:t>41</w:t>
      </w:r>
    </w:p>
    <w:p w:rsidR="00A970CD" w:rsidRPr="00A970CD" w:rsidRDefault="00A970CD" w:rsidP="00A970CD">
      <w:pPr>
        <w:pStyle w:val="2"/>
        <w:rPr>
          <w:rFonts w:ascii="Calibri" w:hAnsi="Calibri"/>
          <w:smallCaps w:val="0"/>
          <w:noProof/>
          <w:sz w:val="22"/>
          <w:szCs w:val="22"/>
        </w:rPr>
      </w:pPr>
      <w:r w:rsidRPr="00A970CD">
        <w:rPr>
          <w:rStyle w:val="a3"/>
          <w:noProof/>
          <w:color w:val="auto"/>
          <w:kern w:val="28"/>
        </w:rPr>
        <w:t>Глава 8.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поселения.</w:t>
      </w:r>
      <w:r w:rsidRPr="00A970CD">
        <w:rPr>
          <w:noProof/>
          <w:webHidden/>
        </w:rPr>
        <w:tab/>
        <w:t>72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25.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  <w:r w:rsidRPr="00A970CD">
        <w:rPr>
          <w:webHidden/>
        </w:rPr>
        <w:tab/>
        <w:t>72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 xml:space="preserve">Статья 25.1. Перечень водоохранных зон и прибрежных защитных полос водных объектов, зон санитарной охраны источников водоснабжения. Ограничения использования земельных участков и объектов капитального строительства в водоохранной зоне и прибрежной защитной полосе водных объектов, зоне санитарной охраны источников водоснабжения </w:t>
      </w:r>
      <w:r w:rsidRPr="00A970CD">
        <w:rPr>
          <w:rStyle w:val="a3"/>
          <w:rFonts w:ascii="Times New Roman" w:hAnsi="Times New Roman"/>
          <w:color w:val="auto"/>
          <w:spacing w:val="-4"/>
        </w:rPr>
        <w:t>обеспеченности</w:t>
      </w:r>
      <w:r w:rsidRPr="00A970CD">
        <w:rPr>
          <w:rStyle w:val="a3"/>
          <w:rFonts w:ascii="Times New Roman" w:hAnsi="Times New Roman"/>
          <w:color w:val="auto"/>
        </w:rPr>
        <w:t xml:space="preserve"> по экологическим условиям и нормативному режиму хозяйственной деятельности.</w:t>
      </w:r>
      <w:r w:rsidRPr="00A970CD">
        <w:rPr>
          <w:webHidden/>
        </w:rPr>
        <w:tab/>
        <w:t>72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25.2. Перечень санитарно-защитных зон предприятий, сооружений и иных объектов. Ограничения использования земельных участков и объектов капитального строительства в санитарно-защитных зонах предприятий, сооружений и иных объектов</w:t>
      </w:r>
      <w:r w:rsidRPr="00A970CD">
        <w:rPr>
          <w:webHidden/>
        </w:rPr>
        <w:tab/>
        <w:t>77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26. Ограничения использования земельных участков и объектов капитального строительства, в зонах особо охраняемых природных территорий</w:t>
      </w:r>
      <w:r w:rsidRPr="00A970CD">
        <w:rPr>
          <w:webHidden/>
        </w:rPr>
        <w:tab/>
        <w:t>79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27. Ограничения использования земельных участков и объектов капитального строительства по условиям охраны объектов культурного наследия</w:t>
      </w:r>
      <w:r w:rsidRPr="00A970CD">
        <w:rPr>
          <w:webHidden/>
        </w:rPr>
        <w:tab/>
        <w:t>80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Приложение А. Общие требования пожарной безопасности</w:t>
      </w:r>
      <w:r w:rsidRPr="00A970CD">
        <w:rPr>
          <w:webHidden/>
        </w:rPr>
        <w:tab/>
        <w:t>81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Приложение Б. Размеры зон с особыми условиями использования территорий</w:t>
      </w:r>
      <w:r w:rsidRPr="00A970CD">
        <w:rPr>
          <w:webHidden/>
        </w:rPr>
        <w:tab/>
        <w:t>82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Приложение В.</w:t>
      </w:r>
      <w:r w:rsidRPr="00A970CD">
        <w:rPr>
          <w:webHidden/>
        </w:rPr>
        <w:tab/>
        <w:t>83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Объекты культурного наследия, стоящие на государственной охране</w:t>
      </w:r>
      <w:r w:rsidRPr="00A970CD">
        <w:rPr>
          <w:webHidden/>
        </w:rPr>
        <w:tab/>
        <w:t>83</w:t>
      </w:r>
    </w:p>
    <w:p w:rsidR="00A970CD" w:rsidRPr="00A970CD" w:rsidRDefault="00A970CD" w:rsidP="00A970CD">
      <w:pPr>
        <w:pStyle w:val="1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A970CD">
        <w:rPr>
          <w:rStyle w:val="a3"/>
          <w:noProof/>
          <w:color w:val="auto"/>
        </w:rPr>
        <w:t>Часть III. КАРТЫ ГРАДОСТРОИТЕЛЬНОГО ЗОНИРОВАНИЯ</w:t>
      </w:r>
      <w:r w:rsidRPr="00A970CD">
        <w:rPr>
          <w:noProof/>
          <w:webHidden/>
        </w:rPr>
        <w:tab/>
        <w:t>85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Статья 28.</w:t>
      </w:r>
      <w:r w:rsidRPr="00A970CD">
        <w:rPr>
          <w:webHidden/>
        </w:rPr>
        <w:tab/>
        <w:t>85</w:t>
      </w:r>
    </w:p>
    <w:p w:rsidR="00A970CD" w:rsidRPr="00A970CD" w:rsidRDefault="00A970CD" w:rsidP="00A970CD">
      <w:pPr>
        <w:pStyle w:val="3"/>
        <w:tabs>
          <w:tab w:val="left" w:pos="660"/>
        </w:tabs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1.</w:t>
      </w:r>
      <w:r w:rsidRPr="00A970CD">
        <w:rPr>
          <w:rFonts w:ascii="Calibri" w:hAnsi="Calibri"/>
          <w:i w:val="0"/>
          <w:iCs w:val="0"/>
          <w:kern w:val="0"/>
          <w:sz w:val="22"/>
          <w:szCs w:val="22"/>
        </w:rPr>
        <w:tab/>
      </w:r>
      <w:r w:rsidRPr="00A970CD">
        <w:rPr>
          <w:rStyle w:val="a3"/>
          <w:rFonts w:ascii="Times New Roman" w:hAnsi="Times New Roman"/>
          <w:color w:val="auto"/>
        </w:rPr>
        <w:t>Карта градостроительного зонирования территорий, границ зон с особыми условиями использования территорий сельского поселения «Усть-Илыч».</w:t>
      </w:r>
      <w:r w:rsidRPr="00A970CD">
        <w:rPr>
          <w:webHidden/>
        </w:rPr>
        <w:tab/>
        <w:t>85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2/1.Карта градостроительного зонирования территорий, границ зон с особыми условиями использования территорий с. Усть-Илыч.</w:t>
      </w:r>
      <w:r w:rsidRPr="00A970CD">
        <w:rPr>
          <w:webHidden/>
        </w:rPr>
        <w:tab/>
        <w:t>85</w:t>
      </w:r>
    </w:p>
    <w:p w:rsidR="00A970CD" w:rsidRPr="00A970CD" w:rsidRDefault="00A970CD" w:rsidP="00A970CD">
      <w:pPr>
        <w:pStyle w:val="3"/>
        <w:rPr>
          <w:rFonts w:ascii="Calibri" w:hAnsi="Calibri"/>
          <w:i w:val="0"/>
          <w:iCs w:val="0"/>
          <w:kern w:val="0"/>
          <w:sz w:val="22"/>
          <w:szCs w:val="22"/>
        </w:rPr>
      </w:pPr>
      <w:r w:rsidRPr="00A970CD">
        <w:rPr>
          <w:rStyle w:val="a3"/>
          <w:rFonts w:ascii="Times New Roman" w:hAnsi="Times New Roman"/>
          <w:color w:val="auto"/>
        </w:rPr>
        <w:t>2/2. Карта градостроительного зонирования территорий, границ зон с особыми условиями использования территорий п. Мишкин-Ёль и п. Палью.</w:t>
      </w:r>
      <w:r w:rsidRPr="00A970CD">
        <w:rPr>
          <w:webHidden/>
        </w:rPr>
        <w:tab/>
        <w:t>85</w:t>
      </w:r>
    </w:p>
    <w:p w:rsidR="00A970CD" w:rsidRPr="00A970CD" w:rsidRDefault="00A970CD" w:rsidP="00A970CD">
      <w:pPr>
        <w:pStyle w:val="a4"/>
      </w:pPr>
    </w:p>
    <w:p w:rsidR="00342EDD" w:rsidRPr="00A970CD" w:rsidRDefault="00A970CD" w:rsidP="00A970CD">
      <w:r w:rsidRPr="00A970CD">
        <w:rPr>
          <w:sz w:val="28"/>
          <w:szCs w:val="28"/>
        </w:rPr>
        <w:br w:type="page"/>
      </w:r>
    </w:p>
    <w:sectPr w:rsidR="00342EDD" w:rsidRPr="00A970CD" w:rsidSect="00C670F8">
      <w:pgSz w:w="12240" w:h="15840"/>
      <w:pgMar w:top="709" w:right="1185" w:bottom="709" w:left="1134" w:header="425" w:footer="159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7E"/>
    <w:rsid w:val="00342EDD"/>
    <w:rsid w:val="006325D2"/>
    <w:rsid w:val="00A01D7E"/>
    <w:rsid w:val="00A8554E"/>
    <w:rsid w:val="00A970CD"/>
    <w:rsid w:val="00C6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C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A970CD"/>
    <w:pPr>
      <w:tabs>
        <w:tab w:val="right" w:leader="dot" w:pos="9923"/>
      </w:tabs>
      <w:spacing w:before="120" w:after="120"/>
    </w:pPr>
    <w:rPr>
      <w:rFonts w:ascii="Arial" w:hAnsi="Arial" w:cs="Times New Roman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rsid w:val="00A970CD"/>
    <w:pPr>
      <w:tabs>
        <w:tab w:val="right" w:leader="dot" w:pos="9923"/>
      </w:tabs>
      <w:spacing w:after="0"/>
    </w:pPr>
    <w:rPr>
      <w:rFonts w:ascii="Arial" w:hAnsi="Arial" w:cs="Times New Roman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rsid w:val="00A970CD"/>
    <w:pPr>
      <w:tabs>
        <w:tab w:val="right" w:leader="dot" w:pos="9923"/>
      </w:tabs>
      <w:spacing w:after="0"/>
      <w:ind w:left="142"/>
    </w:pPr>
    <w:rPr>
      <w:rFonts w:ascii="Arial" w:hAnsi="Arial" w:cs="Times New Roman"/>
      <w:i/>
      <w:iCs/>
      <w:noProof/>
      <w:kern w:val="28"/>
      <w:sz w:val="20"/>
      <w:szCs w:val="20"/>
    </w:rPr>
  </w:style>
  <w:style w:type="character" w:styleId="a3">
    <w:name w:val="Hyperlink"/>
    <w:uiPriority w:val="99"/>
    <w:rsid w:val="00A970CD"/>
    <w:rPr>
      <w:color w:val="0000FF"/>
      <w:u w:val="single"/>
    </w:rPr>
  </w:style>
  <w:style w:type="paragraph" w:customStyle="1" w:styleId="a4">
    <w:name w:val="Для Содержания"/>
    <w:basedOn w:val="1"/>
    <w:qFormat/>
    <w:rsid w:val="00A970CD"/>
    <w:pPr>
      <w:tabs>
        <w:tab w:val="right" w:leader="dot" w:pos="10065"/>
      </w:tabs>
    </w:pPr>
    <w:rPr>
      <w:rFonts w:cs="Arial"/>
      <w:b w:val="0"/>
      <w:bCs w:val="0"/>
      <w:caps w:val="0"/>
      <w:kern w:val="28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C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A970CD"/>
    <w:pPr>
      <w:tabs>
        <w:tab w:val="right" w:leader="dot" w:pos="9923"/>
      </w:tabs>
      <w:spacing w:before="120" w:after="120"/>
    </w:pPr>
    <w:rPr>
      <w:rFonts w:ascii="Arial" w:hAnsi="Arial" w:cs="Times New Roman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rsid w:val="00A970CD"/>
    <w:pPr>
      <w:tabs>
        <w:tab w:val="right" w:leader="dot" w:pos="9923"/>
      </w:tabs>
      <w:spacing w:after="0"/>
    </w:pPr>
    <w:rPr>
      <w:rFonts w:ascii="Arial" w:hAnsi="Arial" w:cs="Times New Roman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rsid w:val="00A970CD"/>
    <w:pPr>
      <w:tabs>
        <w:tab w:val="right" w:leader="dot" w:pos="9923"/>
      </w:tabs>
      <w:spacing w:after="0"/>
      <w:ind w:left="142"/>
    </w:pPr>
    <w:rPr>
      <w:rFonts w:ascii="Arial" w:hAnsi="Arial" w:cs="Times New Roman"/>
      <w:i/>
      <w:iCs/>
      <w:noProof/>
      <w:kern w:val="28"/>
      <w:sz w:val="20"/>
      <w:szCs w:val="20"/>
    </w:rPr>
  </w:style>
  <w:style w:type="character" w:styleId="a3">
    <w:name w:val="Hyperlink"/>
    <w:uiPriority w:val="99"/>
    <w:rsid w:val="00A970CD"/>
    <w:rPr>
      <w:color w:val="0000FF"/>
      <w:u w:val="single"/>
    </w:rPr>
  </w:style>
  <w:style w:type="paragraph" w:customStyle="1" w:styleId="a4">
    <w:name w:val="Для Содержания"/>
    <w:basedOn w:val="1"/>
    <w:qFormat/>
    <w:rsid w:val="00A970CD"/>
    <w:pPr>
      <w:tabs>
        <w:tab w:val="right" w:leader="dot" w:pos="10065"/>
      </w:tabs>
    </w:pPr>
    <w:rPr>
      <w:rFonts w:cs="Arial"/>
      <w:b w:val="0"/>
      <w:bCs w:val="0"/>
      <w:caps w:val="0"/>
      <w:kern w:val="2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4922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Нина Михайловна</cp:lastModifiedBy>
  <cp:revision>2</cp:revision>
  <dcterms:created xsi:type="dcterms:W3CDTF">2018-02-14T07:06:00Z</dcterms:created>
  <dcterms:modified xsi:type="dcterms:W3CDTF">2018-02-14T07:08:00Z</dcterms:modified>
</cp:coreProperties>
</file>